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Times New Roman" w:eastAsia="方正仿宋_GBK"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Times New Roman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eastAsia="方正仿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自治区审计厅关于报送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020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政府信息公开工作年度报告的函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自治区人民政府政务公开办公室：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方正仿宋_GBK" w:eastAsia="方正仿宋_GBK"/>
          <w:color w:val="000000"/>
          <w:spacing w:val="9"/>
          <w:sz w:val="32"/>
          <w:szCs w:val="32"/>
        </w:rPr>
      </w:pPr>
      <w:r>
        <w:rPr>
          <w:rFonts w:hint="eastAsia" w:ascii="方正仿宋_GBK" w:eastAsia="方正仿宋_GBK"/>
          <w:color w:val="000000"/>
          <w:spacing w:val="9"/>
          <w:sz w:val="32"/>
          <w:szCs w:val="32"/>
        </w:rPr>
        <w:t>按照</w:t>
      </w:r>
      <w:r>
        <w:rPr>
          <w:rFonts w:hint="eastAsia" w:ascii="方正仿宋_GBK" w:eastAsia="方正仿宋_GBK"/>
          <w:color w:val="000000"/>
          <w:sz w:val="32"/>
          <w:szCs w:val="32"/>
        </w:rPr>
        <w:t>《中华人民共和国政府信息公开条例》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和</w:t>
      </w:r>
      <w:r>
        <w:rPr>
          <w:rFonts w:hint="eastAsia" w:ascii="方正仿宋_GBK" w:eastAsia="方正仿宋_GBK"/>
          <w:color w:val="000000"/>
          <w:spacing w:val="9"/>
          <w:sz w:val="32"/>
          <w:szCs w:val="32"/>
          <w:lang w:eastAsia="zh-CN"/>
        </w:rPr>
        <w:t>《关于政府信息公开工作年度报告有关事项的通知》</w:t>
      </w:r>
      <w:r>
        <w:rPr>
          <w:rFonts w:hint="eastAsia" w:ascii="方正仿宋_GBK" w:eastAsia="方正仿宋_GBK"/>
          <w:color w:val="000000"/>
          <w:spacing w:val="9"/>
          <w:sz w:val="32"/>
          <w:szCs w:val="32"/>
        </w:rPr>
        <w:t>要求，现将《</w:t>
      </w:r>
      <w:r>
        <w:rPr>
          <w:rFonts w:hint="eastAsia" w:ascii="方正仿宋_GBK" w:eastAsia="方正仿宋_GBK"/>
          <w:color w:val="000000"/>
          <w:spacing w:val="9"/>
          <w:sz w:val="32"/>
          <w:szCs w:val="32"/>
          <w:lang w:val="en-US" w:eastAsia="zh-CN"/>
        </w:rPr>
        <w:t>自治区审计厅2020年度政府信息公开工作年度报告</w:t>
      </w:r>
      <w:r>
        <w:rPr>
          <w:rFonts w:hint="eastAsia" w:ascii="方正仿宋_GBK" w:eastAsia="方正仿宋_GBK"/>
          <w:color w:val="000000"/>
          <w:spacing w:val="9"/>
          <w:sz w:val="32"/>
          <w:szCs w:val="32"/>
        </w:rPr>
        <w:t>》</w:t>
      </w:r>
      <w:r>
        <w:rPr>
          <w:rFonts w:hint="eastAsia" w:ascii="方正仿宋_GBK" w:eastAsia="方正仿宋_GBK"/>
          <w:color w:val="000000"/>
          <w:spacing w:val="9"/>
          <w:sz w:val="32"/>
          <w:szCs w:val="32"/>
          <w:lang w:eastAsia="zh-CN"/>
        </w:rPr>
        <w:t>呈报</w:t>
      </w:r>
      <w:r>
        <w:rPr>
          <w:rFonts w:hint="eastAsia" w:ascii="方正仿宋_GBK" w:eastAsia="方正仿宋_GBK"/>
          <w:color w:val="000000"/>
          <w:spacing w:val="9"/>
          <w:sz w:val="32"/>
          <w:szCs w:val="32"/>
        </w:rPr>
        <w:t>你</w:t>
      </w:r>
      <w:r>
        <w:rPr>
          <w:rFonts w:hint="eastAsia" w:ascii="方正仿宋_GBK" w:eastAsia="方正仿宋_GBK"/>
          <w:color w:val="000000"/>
          <w:spacing w:val="9"/>
          <w:sz w:val="32"/>
          <w:szCs w:val="32"/>
          <w:lang w:eastAsia="zh-CN"/>
        </w:rPr>
        <w:t>室</w:t>
      </w:r>
      <w:r>
        <w:rPr>
          <w:rFonts w:hint="eastAsia" w:ascii="方正仿宋_GBK" w:eastAsia="方正仿宋_GBK"/>
          <w:color w:val="000000"/>
          <w:spacing w:val="9"/>
          <w:sz w:val="32"/>
          <w:szCs w:val="32"/>
        </w:rPr>
        <w:t>，请审定。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 w:firstLine="480" w:firstLineChars="15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 w:firstLine="480" w:firstLineChars="15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 w:firstLine="480" w:firstLineChars="150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 w:firstLine="3680" w:firstLineChars="115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   宁夏回族自治区审计厅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 w:firstLine="4160" w:firstLineChars="130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（此件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公开发布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 w:firstLine="480" w:firstLineChars="15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14" w:right="1474" w:bottom="1984" w:left="1587" w:header="851" w:footer="1304" w:gutter="0"/>
          <w:pgNumType w:fmt="decimal"/>
          <w:cols w:space="0" w:num="1"/>
          <w:titlePg/>
          <w:rtlGutter w:val="0"/>
          <w:docGrid w:type="lines" w:linePitch="59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自治区审计厅2020年度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根据《中华人民共和国政府信息公开条例》《宁夏回族自治区实施&lt;中华人民共和国政府信息公开条例&gt;办法》规定，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《自治区审计厅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2020年政府信息公开工作年度报告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》现予发布</w:t>
      </w:r>
      <w:r>
        <w:rPr>
          <w:rFonts w:hint="eastAsia" w:ascii="方正仿宋_GBK"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本报告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由自治区审计厅办公室根据本单位信息公开工作情况编制而成，所列政府信息公开数据统计期限为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2020年1月1日至12月31日。本报告</w:t>
      </w:r>
      <w:r>
        <w:rPr>
          <w:rFonts w:hint="eastAsia" w:ascii="方正仿宋_GBK" w:eastAsia="方正仿宋_GBK"/>
          <w:color w:val="000000"/>
          <w:sz w:val="32"/>
          <w:szCs w:val="32"/>
        </w:rPr>
        <w:t>电子版可在宁夏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回族自治区</w:t>
      </w:r>
      <w:r>
        <w:rPr>
          <w:rFonts w:hint="eastAsia" w:ascii="方正仿宋_GBK" w:eastAsia="方正仿宋_GBK"/>
          <w:color w:val="000000"/>
          <w:sz w:val="32"/>
          <w:szCs w:val="32"/>
        </w:rPr>
        <w:t>审计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厅门户网站</w:t>
      </w:r>
      <w:r>
        <w:rPr>
          <w:rFonts w:hint="eastAsia" w:ascii="方正仿宋_GBK" w:eastAsia="方正仿宋_GBK"/>
          <w:color w:val="000000"/>
          <w:sz w:val="32"/>
          <w:szCs w:val="32"/>
        </w:rPr>
        <w:t>（http://sjt.nx.gov.cn/）查阅或下载。如有疑问或意见建议，可直接与自治区审计厅办公室联系。（地址：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宁夏</w:t>
      </w:r>
      <w:r>
        <w:rPr>
          <w:rFonts w:hint="eastAsia" w:ascii="方正仿宋_GBK" w:eastAsia="方正仿宋_GBK"/>
          <w:color w:val="000000"/>
          <w:sz w:val="32"/>
          <w:szCs w:val="32"/>
        </w:rPr>
        <w:t>银川市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兴庆区</w:t>
      </w:r>
      <w:r>
        <w:rPr>
          <w:rFonts w:hint="eastAsia" w:ascii="方正仿宋_GBK" w:eastAsia="方正仿宋_GBK"/>
          <w:color w:val="000000"/>
          <w:sz w:val="32"/>
          <w:szCs w:val="32"/>
        </w:rPr>
        <w:t>新华西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路</w:t>
      </w:r>
      <w:r>
        <w:rPr>
          <w:rFonts w:hint="eastAsia" w:ascii="方正仿宋_GBK" w:eastAsia="方正仿宋_GBK"/>
          <w:color w:val="000000"/>
          <w:sz w:val="32"/>
          <w:szCs w:val="32"/>
        </w:rPr>
        <w:t>392号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color w:val="000000"/>
          <w:sz w:val="32"/>
          <w:szCs w:val="32"/>
        </w:rPr>
        <w:t>邮编：750001；电话：0951-50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26866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；传真：0951-5044183；电子邮箱：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zzqsjtbgs@nx.gov.cn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2020年，自治区</w:t>
      </w:r>
      <w:r>
        <w:rPr>
          <w:rFonts w:hint="eastAsia" w:ascii="方正仿宋_GBK" w:eastAsia="方正仿宋_GBK"/>
          <w:color w:val="000000"/>
          <w:sz w:val="32"/>
          <w:szCs w:val="32"/>
        </w:rPr>
        <w:t>审计厅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深入贯彻</w:t>
      </w:r>
      <w:r>
        <w:rPr>
          <w:rFonts w:hint="eastAsia" w:ascii="方正仿宋_GBK" w:eastAsia="方正仿宋_GBK"/>
          <w:color w:val="000000"/>
          <w:sz w:val="32"/>
          <w:szCs w:val="32"/>
        </w:rPr>
        <w:t>《中华人民共和国政府信息公开条例》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000000"/>
          <w:sz w:val="32"/>
          <w:szCs w:val="32"/>
        </w:rPr>
        <w:t>严格按照《自治区人民政府办公厅关于印发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自治区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2020年政务公开工作要点</w:t>
      </w:r>
      <w:r>
        <w:rPr>
          <w:rFonts w:hint="eastAsia" w:ascii="方正仿宋_GBK" w:eastAsia="方正仿宋_GBK"/>
          <w:color w:val="000000"/>
          <w:sz w:val="32"/>
          <w:szCs w:val="32"/>
        </w:rPr>
        <w:t>的通知》要求，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扎实开展</w:t>
      </w:r>
      <w:r>
        <w:rPr>
          <w:rFonts w:hint="eastAsia" w:ascii="方正仿宋_GBK" w:eastAsia="方正仿宋_GBK"/>
          <w:color w:val="000000"/>
          <w:sz w:val="32"/>
          <w:szCs w:val="32"/>
        </w:rPr>
        <w:t>政务公开工作，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不断推进组织建设、平台建设和制度建设，信息公开的广度和深度不断增强，有效发挥了审计在党和国家监督体系中的重要作用。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（一）强化组织领导。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审计厅政务公开工作在厅政务公开工作领导小组领导下开展，各处室按职责要求分工落实政府信息公开各项工作，办公室负责政务公开日常工作。制定印发了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《自治区审计厅2020年政务公开工作实施方案》，明确了2020年工作重点和内容，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保证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政务公开工作有序顺利开展。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（二）加强保障措施。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配备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2人专门从事政务公开工作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，预算安排</w:t>
      </w:r>
      <w:r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  <w:t>9万元用于网络安全等级保护测评、政务公开模块维护和网站技术维护工作，安排1.4万元用于上网信息稿件校对，为政务公开工作提供可靠的人员保障和经费保障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。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压实政务公开工作责任，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将政务公开工作纳入厅机关各单位年终绩效考核，确保政务公开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工作落实到处室和工作人员。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仿宋" w:eastAsia="方正楷体_GBK"/>
          <w:color w:val="000000"/>
          <w:sz w:val="32"/>
          <w:szCs w:val="32"/>
          <w:lang w:eastAsia="zh-CN"/>
        </w:rPr>
        <w:t>（三）推进</w:t>
      </w:r>
      <w:r>
        <w:rPr>
          <w:rFonts w:hint="eastAsia" w:ascii="方正楷体_GBK" w:hAnsi="仿宋" w:eastAsia="方正楷体_GBK"/>
          <w:color w:val="000000"/>
          <w:sz w:val="32"/>
          <w:szCs w:val="32"/>
          <w:lang w:val="en-US" w:eastAsia="zh-CN"/>
        </w:rPr>
        <w:t>平台建设。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>严格按照国务院《政府网站发展指引》，定期检查更新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门户网站。调整更新了《自治区审计厅门户网站栏目责任分工》，明确了各处室提供的公开内容，要求所有公开信息必须经过“三审三校”，确保上网信息准确无误，防范信息公开平台风险。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（四）落实公开工作。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主动发布信息1824条，其中，概况类信息更新6条，政务动态信息发布1375条，政务信息公开模块发布443条，编印《宁夏回族自治区审计厅审计结果公告》3期。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  <w:u w:val="none"/>
          <w:lang w:val="en-US" w:eastAsia="zh-CN"/>
        </w:rPr>
        <w:t>重点公开《自治区审计厅2020年部门预算》《自治区审计厅2020年项目支出预算绩效目标》《自治区审计厅2019年项目支出绩效评价自评表》《自治区审计厅2019年度部门决算公开》等财务信息4份；公开《宁夏2018年度自治区本级预算执行和其他财政收支审计结果落实情况的报告》《关于2019年度自治区本级预算执行和其他财政收支情况的审计工作报告》《关于5个利用国外贷援款项目2019年度财务收支及项目执行情况的审计结果》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等公众关注的审计结果，并发布相关报告解读文章，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提高了审计工作透明度</w:t>
      </w:r>
      <w:r>
        <w:rPr>
          <w:rFonts w:hint="eastAsia" w:ascii="方正仿宋_GBK" w:hAnsi="仿宋" w:eastAsia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  <w:t>收到依申请公开信件2件，申请人均为自然人，分别要求公开“2009-2015年年度自治区本级预算执行和其他财政收支的审计工作报告”及“2016-2019年间宁夏回族自治区审计厅每年对国有企业的审计（调查）情况”，均通过电子邮箱回复申请人并电话联系申请人告知情况，确保依申请公开工作落实落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  <w:t>办理提案2件，分别为自治区政协十一届三次会议031号、114号提案，均按照有关要求协调会同有关单位进行了办理，并及时在门户网站公开发布。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11"/>
        <w:tblW w:w="906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4"/>
        <w:gridCol w:w="1991"/>
        <w:gridCol w:w="6"/>
        <w:gridCol w:w="1343"/>
        <w:gridCol w:w="19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6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54.69万元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11"/>
        <w:tblW w:w="906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235"/>
        <w:gridCol w:w="1873"/>
        <w:gridCol w:w="467"/>
        <w:gridCol w:w="697"/>
        <w:gridCol w:w="731"/>
        <w:gridCol w:w="765"/>
        <w:gridCol w:w="854"/>
        <w:gridCol w:w="706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7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11"/>
        <w:tblW w:w="906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619"/>
        <w:gridCol w:w="618"/>
        <w:gridCol w:w="619"/>
        <w:gridCol w:w="620"/>
        <w:gridCol w:w="620"/>
        <w:gridCol w:w="620"/>
        <w:gridCol w:w="619"/>
        <w:gridCol w:w="620"/>
        <w:gridCol w:w="620"/>
        <w:gridCol w:w="620"/>
        <w:gridCol w:w="620"/>
        <w:gridCol w:w="619"/>
        <w:gridCol w:w="620"/>
        <w:gridCol w:w="3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96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0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286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仿宋" w:eastAsia="方正仿宋_GBK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  <w:u w:val="none"/>
          <w:lang w:val="en-US" w:eastAsia="zh-CN"/>
        </w:rPr>
        <w:t>2020年，审计厅严格按照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>国务院《政府网站发展指引》，更新维护网站46个专栏专题，信息</w:t>
      </w:r>
      <w:r>
        <w:rPr>
          <w:rFonts w:hint="eastAsia" w:ascii="方正仿宋_GBK" w:hAnsi="仿宋" w:eastAsia="方正仿宋_GBK"/>
          <w:color w:val="000000"/>
          <w:sz w:val="32"/>
          <w:szCs w:val="32"/>
          <w:u w:val="none"/>
          <w:lang w:val="en-US" w:eastAsia="zh-CN"/>
        </w:rPr>
        <w:t>公开工作取得了新的进展，但仍然存在不足和差距，主要表现在：信息更新还不够及时高效、公开内容重点不突出、培训力度不够等，下一步，我厅将采取以下措施完善信息公开工作：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进一步提高信息公开工作的质量。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en-US" w:eastAsia="zh-CN"/>
        </w:rPr>
        <w:t>按照自治区政府政务公开办工作要求，进一步提高认识，将政府信息公开工作制度化、常态化，确保组织到位、措施到位、责任到位。严格要求公开信息申请处室和信息发布人员认真审核，严格信息上报时限，确保信息公开的准确性和时效性，提高信息公开工作的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（二）进一步加大审计工作的公开力度。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围绕中央和自治区重大政策措施落实情况、全区重点民生工程、涉农扶贫领域、乡村振兴等资金项目审计情况，以及黄河流域生态保护和高质量发展先行区建设重点工程、项目审计工作，清理拖欠</w:t>
      </w: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民营企业中小企业账款专项审计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等工作进行公告，提高审计工作透明度，增强社会监督、舆论监督的效果。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（三）进一步拓展信息公开的方式。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在宁夏审计网公开信息的基础上，加大在官方微博平台、《宁夏审计》等媒介的公开力度，提高公众对审计信息公开的知晓率和参与度，扩大审计信息覆盖面，真正做到便民利企。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jc w:val="both"/>
        <w:textAlignment w:val="auto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无。</w:t>
      </w:r>
    </w:p>
    <w:sectPr>
      <w:footerReference r:id="rId11" w:type="first"/>
      <w:footerReference r:id="rId9" w:type="default"/>
      <w:footerReference r:id="rId10" w:type="even"/>
      <w:pgSz w:w="11906" w:h="16838"/>
      <w:pgMar w:top="1814" w:right="1474" w:bottom="1984" w:left="1587" w:header="851" w:footer="1304" w:gutter="0"/>
      <w:pgNumType w:fmt="decimal"/>
      <w:cols w:space="0" w:num="1"/>
      <w:rtlGutter w:val="0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4758055</wp:posOffset>
              </wp:positionH>
              <wp:positionV relativeFrom="paragraph">
                <wp:posOffset>-83820</wp:posOffset>
              </wp:positionV>
              <wp:extent cx="858520" cy="25082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852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方正楷体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65pt;margin-top:-6.6pt;height:19.75pt;width:67.6pt;mso-position-horizontal-relative:margin;z-index:251663360;mso-width-relative:page;mso-height-relative:page;" filled="f" stroked="f" coordsize="21600,21600" o:gfxdata="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7kmD3aAAAACgEA&#10;AA8AAAAAAAAAAQAgAAAAIgAAAGRycy9kb3ducmV2LnhtbFBLAQIUABQAAAAIAIdO4kDGGZGQGAIA&#10;ABMEAAAOAAAAAAAAAAEAIAAAACk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方正楷体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-82550</wp:posOffset>
              </wp:positionV>
              <wp:extent cx="1031240" cy="2286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24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5pt;height:18pt;width:81.2pt;mso-position-horizontal-relative:margin;z-index:251666432;mso-width-relative:page;mso-height-relative:page;" filled="f" stroked="f" coordsize="21600,21600" o:gfxdata="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cIubTWAAAABwEAAA8A&#10;AAAAAAAAAQAgAAAAIgAAAGRycy9kb3ducmV2LnhtbFBLAQIUABQAAAAIAIdO4kCJQpHyGQIAABQ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E001"/>
    <w:multiLevelType w:val="singleLevel"/>
    <w:tmpl w:val="582FE0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evenAndOddHeaders w:val="1"/>
  <w:drawingGridVerticalSpacing w:val="29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645"/>
    <w:rsid w:val="00AD7577"/>
    <w:rsid w:val="01245098"/>
    <w:rsid w:val="016352F9"/>
    <w:rsid w:val="01E6406E"/>
    <w:rsid w:val="01EA213C"/>
    <w:rsid w:val="02485A45"/>
    <w:rsid w:val="02B82EF0"/>
    <w:rsid w:val="038D7B91"/>
    <w:rsid w:val="04351FCF"/>
    <w:rsid w:val="045C6394"/>
    <w:rsid w:val="049322E3"/>
    <w:rsid w:val="04BF2E09"/>
    <w:rsid w:val="04D84BB6"/>
    <w:rsid w:val="05215CA0"/>
    <w:rsid w:val="058410C7"/>
    <w:rsid w:val="05E358AE"/>
    <w:rsid w:val="05FB60D5"/>
    <w:rsid w:val="069C73A2"/>
    <w:rsid w:val="073775F4"/>
    <w:rsid w:val="074934E1"/>
    <w:rsid w:val="07637392"/>
    <w:rsid w:val="077A6171"/>
    <w:rsid w:val="07E11100"/>
    <w:rsid w:val="07FC46F7"/>
    <w:rsid w:val="088C4496"/>
    <w:rsid w:val="0960267C"/>
    <w:rsid w:val="0A761DE2"/>
    <w:rsid w:val="0AD80127"/>
    <w:rsid w:val="0AD94A1C"/>
    <w:rsid w:val="0ADC31B8"/>
    <w:rsid w:val="0AE3286E"/>
    <w:rsid w:val="0B663F7F"/>
    <w:rsid w:val="0BEC4071"/>
    <w:rsid w:val="0C99507E"/>
    <w:rsid w:val="0CB148C3"/>
    <w:rsid w:val="0CD35722"/>
    <w:rsid w:val="0CE21480"/>
    <w:rsid w:val="0D0505D6"/>
    <w:rsid w:val="0D9638DC"/>
    <w:rsid w:val="0DDC6F83"/>
    <w:rsid w:val="0E0004D4"/>
    <w:rsid w:val="0E4371E0"/>
    <w:rsid w:val="0E5301AE"/>
    <w:rsid w:val="0EA16705"/>
    <w:rsid w:val="0F0D0E2B"/>
    <w:rsid w:val="0F5F40B6"/>
    <w:rsid w:val="0F7A1B2D"/>
    <w:rsid w:val="0FD363CF"/>
    <w:rsid w:val="0FD37D98"/>
    <w:rsid w:val="11442E30"/>
    <w:rsid w:val="115D2787"/>
    <w:rsid w:val="11607CE0"/>
    <w:rsid w:val="116874CE"/>
    <w:rsid w:val="11863390"/>
    <w:rsid w:val="11C92272"/>
    <w:rsid w:val="127217B7"/>
    <w:rsid w:val="12A310BC"/>
    <w:rsid w:val="12B04F4F"/>
    <w:rsid w:val="12C47942"/>
    <w:rsid w:val="12CA5831"/>
    <w:rsid w:val="12D91F02"/>
    <w:rsid w:val="135E4EC3"/>
    <w:rsid w:val="139A365B"/>
    <w:rsid w:val="14E672A8"/>
    <w:rsid w:val="1547191D"/>
    <w:rsid w:val="15A239C5"/>
    <w:rsid w:val="15B03AFE"/>
    <w:rsid w:val="15B40C0E"/>
    <w:rsid w:val="161128A2"/>
    <w:rsid w:val="164F386E"/>
    <w:rsid w:val="17391C80"/>
    <w:rsid w:val="17536CE5"/>
    <w:rsid w:val="17937FCF"/>
    <w:rsid w:val="17982C91"/>
    <w:rsid w:val="17AA60C5"/>
    <w:rsid w:val="180F7AEE"/>
    <w:rsid w:val="18230E15"/>
    <w:rsid w:val="192F14C2"/>
    <w:rsid w:val="198B74F2"/>
    <w:rsid w:val="19D3632A"/>
    <w:rsid w:val="19DD642C"/>
    <w:rsid w:val="1A0C2F31"/>
    <w:rsid w:val="1AF93296"/>
    <w:rsid w:val="1B3601E4"/>
    <w:rsid w:val="1B5353B7"/>
    <w:rsid w:val="1B6E39EF"/>
    <w:rsid w:val="1BA97208"/>
    <w:rsid w:val="1BBE5192"/>
    <w:rsid w:val="1C854AFA"/>
    <w:rsid w:val="1DEC17C3"/>
    <w:rsid w:val="1E093FF1"/>
    <w:rsid w:val="1E7A4279"/>
    <w:rsid w:val="1E9E086B"/>
    <w:rsid w:val="1F64192E"/>
    <w:rsid w:val="20246723"/>
    <w:rsid w:val="21436C93"/>
    <w:rsid w:val="215859FF"/>
    <w:rsid w:val="220D7B8F"/>
    <w:rsid w:val="222420B3"/>
    <w:rsid w:val="22B106AE"/>
    <w:rsid w:val="233210AA"/>
    <w:rsid w:val="237F33AC"/>
    <w:rsid w:val="23F8704C"/>
    <w:rsid w:val="243734A7"/>
    <w:rsid w:val="24A35F8A"/>
    <w:rsid w:val="253C5579"/>
    <w:rsid w:val="257D51B8"/>
    <w:rsid w:val="258F44FD"/>
    <w:rsid w:val="261F2932"/>
    <w:rsid w:val="264151E6"/>
    <w:rsid w:val="267A0785"/>
    <w:rsid w:val="26C739CE"/>
    <w:rsid w:val="26D71F37"/>
    <w:rsid w:val="27590B18"/>
    <w:rsid w:val="27801BCB"/>
    <w:rsid w:val="278C2306"/>
    <w:rsid w:val="28356DA9"/>
    <w:rsid w:val="28521A90"/>
    <w:rsid w:val="290E6012"/>
    <w:rsid w:val="29992F09"/>
    <w:rsid w:val="29A24B0B"/>
    <w:rsid w:val="2A494E95"/>
    <w:rsid w:val="2A5D3A31"/>
    <w:rsid w:val="2A675BFD"/>
    <w:rsid w:val="2AD04669"/>
    <w:rsid w:val="2B711F53"/>
    <w:rsid w:val="2B9469C5"/>
    <w:rsid w:val="2BA8517F"/>
    <w:rsid w:val="2C0F2086"/>
    <w:rsid w:val="2C570521"/>
    <w:rsid w:val="2D1F6B2B"/>
    <w:rsid w:val="2E172BCD"/>
    <w:rsid w:val="2E994736"/>
    <w:rsid w:val="2ED37C43"/>
    <w:rsid w:val="2F5F5E91"/>
    <w:rsid w:val="2F737C27"/>
    <w:rsid w:val="2F873B10"/>
    <w:rsid w:val="301F1258"/>
    <w:rsid w:val="308731C8"/>
    <w:rsid w:val="30C268AE"/>
    <w:rsid w:val="30FA0CEA"/>
    <w:rsid w:val="311F0CDF"/>
    <w:rsid w:val="3146460F"/>
    <w:rsid w:val="32016D2D"/>
    <w:rsid w:val="32C65B49"/>
    <w:rsid w:val="32E647A9"/>
    <w:rsid w:val="33766527"/>
    <w:rsid w:val="338C1B5A"/>
    <w:rsid w:val="34312626"/>
    <w:rsid w:val="34455711"/>
    <w:rsid w:val="347A0D63"/>
    <w:rsid w:val="34A64096"/>
    <w:rsid w:val="34EE10DA"/>
    <w:rsid w:val="351C0AAC"/>
    <w:rsid w:val="35502EF5"/>
    <w:rsid w:val="35E24641"/>
    <w:rsid w:val="36A233A8"/>
    <w:rsid w:val="36BF7FF2"/>
    <w:rsid w:val="37092EDC"/>
    <w:rsid w:val="370A744A"/>
    <w:rsid w:val="374E31DD"/>
    <w:rsid w:val="378E0659"/>
    <w:rsid w:val="37B35431"/>
    <w:rsid w:val="381443DA"/>
    <w:rsid w:val="387C5FAF"/>
    <w:rsid w:val="38FE67A5"/>
    <w:rsid w:val="3926530F"/>
    <w:rsid w:val="39491F0A"/>
    <w:rsid w:val="397A0153"/>
    <w:rsid w:val="39AD74F7"/>
    <w:rsid w:val="3AB60ABC"/>
    <w:rsid w:val="3B8B29B8"/>
    <w:rsid w:val="3BFB4504"/>
    <w:rsid w:val="3C572D8F"/>
    <w:rsid w:val="3CC31618"/>
    <w:rsid w:val="3D8179AC"/>
    <w:rsid w:val="3EC34094"/>
    <w:rsid w:val="3ECD1EA7"/>
    <w:rsid w:val="3F2D4A68"/>
    <w:rsid w:val="40B059BA"/>
    <w:rsid w:val="40B8416E"/>
    <w:rsid w:val="41DC732F"/>
    <w:rsid w:val="422A0119"/>
    <w:rsid w:val="42462B2E"/>
    <w:rsid w:val="426A6DBE"/>
    <w:rsid w:val="428F0023"/>
    <w:rsid w:val="42CC2A95"/>
    <w:rsid w:val="43071F00"/>
    <w:rsid w:val="4351752C"/>
    <w:rsid w:val="43537121"/>
    <w:rsid w:val="43805054"/>
    <w:rsid w:val="4405002B"/>
    <w:rsid w:val="444F628B"/>
    <w:rsid w:val="45AF3FFB"/>
    <w:rsid w:val="46D63D01"/>
    <w:rsid w:val="478525B7"/>
    <w:rsid w:val="478948F3"/>
    <w:rsid w:val="47A672B1"/>
    <w:rsid w:val="47DB0390"/>
    <w:rsid w:val="48431477"/>
    <w:rsid w:val="4901530B"/>
    <w:rsid w:val="490D28E3"/>
    <w:rsid w:val="491D5602"/>
    <w:rsid w:val="499F749D"/>
    <w:rsid w:val="4A584BCF"/>
    <w:rsid w:val="4AA9434C"/>
    <w:rsid w:val="4B4733CF"/>
    <w:rsid w:val="4C0C6B97"/>
    <w:rsid w:val="4C611813"/>
    <w:rsid w:val="4D07109C"/>
    <w:rsid w:val="4F086764"/>
    <w:rsid w:val="4F983A5F"/>
    <w:rsid w:val="50312C10"/>
    <w:rsid w:val="50865A21"/>
    <w:rsid w:val="50906AA8"/>
    <w:rsid w:val="50D6090D"/>
    <w:rsid w:val="50D81802"/>
    <w:rsid w:val="51113637"/>
    <w:rsid w:val="5143178E"/>
    <w:rsid w:val="52256751"/>
    <w:rsid w:val="52FF6F39"/>
    <w:rsid w:val="535B7C6D"/>
    <w:rsid w:val="53631D3B"/>
    <w:rsid w:val="53BA22E1"/>
    <w:rsid w:val="53E3430B"/>
    <w:rsid w:val="546D3662"/>
    <w:rsid w:val="547F66E6"/>
    <w:rsid w:val="548276DA"/>
    <w:rsid w:val="550C0689"/>
    <w:rsid w:val="55163E5C"/>
    <w:rsid w:val="553054BE"/>
    <w:rsid w:val="55772D71"/>
    <w:rsid w:val="55AC6F18"/>
    <w:rsid w:val="55BA077D"/>
    <w:rsid w:val="56136DBD"/>
    <w:rsid w:val="56AD346F"/>
    <w:rsid w:val="56D87FD0"/>
    <w:rsid w:val="56FF40BD"/>
    <w:rsid w:val="57E20C9E"/>
    <w:rsid w:val="58866181"/>
    <w:rsid w:val="588C2B82"/>
    <w:rsid w:val="588D6815"/>
    <w:rsid w:val="58FB4733"/>
    <w:rsid w:val="5922123C"/>
    <w:rsid w:val="59B00554"/>
    <w:rsid w:val="59ED59B3"/>
    <w:rsid w:val="5A3E3E5D"/>
    <w:rsid w:val="5ADE265F"/>
    <w:rsid w:val="5C0F5EB6"/>
    <w:rsid w:val="5C33104F"/>
    <w:rsid w:val="5CAC37DA"/>
    <w:rsid w:val="5CB120E4"/>
    <w:rsid w:val="5CC56A91"/>
    <w:rsid w:val="5CD345A4"/>
    <w:rsid w:val="5E1D21AC"/>
    <w:rsid w:val="5E291E57"/>
    <w:rsid w:val="5E5244F1"/>
    <w:rsid w:val="5E601482"/>
    <w:rsid w:val="5EED1AAB"/>
    <w:rsid w:val="5F437383"/>
    <w:rsid w:val="5F4603F8"/>
    <w:rsid w:val="5F86569C"/>
    <w:rsid w:val="5FA84824"/>
    <w:rsid w:val="5FAB1863"/>
    <w:rsid w:val="5FC66173"/>
    <w:rsid w:val="613161C6"/>
    <w:rsid w:val="61D23925"/>
    <w:rsid w:val="627D3C4B"/>
    <w:rsid w:val="63BC76F8"/>
    <w:rsid w:val="63F722A2"/>
    <w:rsid w:val="64590C92"/>
    <w:rsid w:val="64677A5C"/>
    <w:rsid w:val="64816AC4"/>
    <w:rsid w:val="656E39EB"/>
    <w:rsid w:val="65D83E4B"/>
    <w:rsid w:val="662518AC"/>
    <w:rsid w:val="68ED7D40"/>
    <w:rsid w:val="694B073C"/>
    <w:rsid w:val="699041A3"/>
    <w:rsid w:val="69C96619"/>
    <w:rsid w:val="69D11956"/>
    <w:rsid w:val="69D6631D"/>
    <w:rsid w:val="6B017894"/>
    <w:rsid w:val="6B430B9C"/>
    <w:rsid w:val="6B8C7F9B"/>
    <w:rsid w:val="6BA72B9E"/>
    <w:rsid w:val="6BB01661"/>
    <w:rsid w:val="6BC828DC"/>
    <w:rsid w:val="6CF93589"/>
    <w:rsid w:val="6D1E021F"/>
    <w:rsid w:val="6DDD7993"/>
    <w:rsid w:val="6E6C6D8E"/>
    <w:rsid w:val="6E950268"/>
    <w:rsid w:val="6EF112C4"/>
    <w:rsid w:val="6EF40117"/>
    <w:rsid w:val="7016071C"/>
    <w:rsid w:val="701864FC"/>
    <w:rsid w:val="70666B88"/>
    <w:rsid w:val="70A511EE"/>
    <w:rsid w:val="70E90E81"/>
    <w:rsid w:val="70F55D00"/>
    <w:rsid w:val="70FF551E"/>
    <w:rsid w:val="71092366"/>
    <w:rsid w:val="715D700D"/>
    <w:rsid w:val="717B1968"/>
    <w:rsid w:val="71BE1571"/>
    <w:rsid w:val="71FA4506"/>
    <w:rsid w:val="72572D38"/>
    <w:rsid w:val="72833CE3"/>
    <w:rsid w:val="72B06D62"/>
    <w:rsid w:val="72B74F0E"/>
    <w:rsid w:val="739A0184"/>
    <w:rsid w:val="75730A3F"/>
    <w:rsid w:val="75A53210"/>
    <w:rsid w:val="75C72CCB"/>
    <w:rsid w:val="75FA05A2"/>
    <w:rsid w:val="76587E0C"/>
    <w:rsid w:val="765C37F3"/>
    <w:rsid w:val="76B8627C"/>
    <w:rsid w:val="772A2B6C"/>
    <w:rsid w:val="77483667"/>
    <w:rsid w:val="78967F35"/>
    <w:rsid w:val="799605F0"/>
    <w:rsid w:val="79CC4B20"/>
    <w:rsid w:val="7A264859"/>
    <w:rsid w:val="7B2F67C7"/>
    <w:rsid w:val="7B4C2AAB"/>
    <w:rsid w:val="7BA15324"/>
    <w:rsid w:val="7C174D00"/>
    <w:rsid w:val="7C545A04"/>
    <w:rsid w:val="7C6C5A83"/>
    <w:rsid w:val="7CE04795"/>
    <w:rsid w:val="7E465AA1"/>
    <w:rsid w:val="7EA33C85"/>
    <w:rsid w:val="7EE828A9"/>
    <w:rsid w:val="7EF67C6E"/>
    <w:rsid w:val="7F1D2923"/>
    <w:rsid w:val="7F7E4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2021-01-27T09:00:54Z</cp:lastPrinted>
  <dcterms:modified xsi:type="dcterms:W3CDTF">2021-01-27T09:58:49Z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